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EF8A" w14:textId="6ACE286C" w:rsidR="00881F28" w:rsidRPr="00881F28" w:rsidRDefault="00881F28" w:rsidP="00881F28">
      <w:pPr>
        <w:pStyle w:val="Nzov"/>
        <w:jc w:val="center"/>
        <w:rPr>
          <w:b/>
          <w:bCs/>
        </w:rPr>
      </w:pPr>
      <w:r w:rsidRPr="00881F28">
        <w:rPr>
          <w:b/>
          <w:bCs/>
        </w:rPr>
        <w:t>Hodnotenie uskutočneného inovačného vzdelávania</w:t>
      </w:r>
    </w:p>
    <w:p w14:paraId="099052CF" w14:textId="77777777" w:rsidR="00881F28" w:rsidRDefault="00881F28" w:rsidP="00881F28"/>
    <w:p w14:paraId="466EEE1A" w14:textId="77777777" w:rsidR="00AA7EE4" w:rsidRDefault="00881F28" w:rsidP="00881F28">
      <w:pPr>
        <w:rPr>
          <w:b/>
          <w:bCs/>
          <w:sz w:val="28"/>
          <w:szCs w:val="28"/>
        </w:rPr>
      </w:pPr>
      <w:r w:rsidRPr="00AA7EE4">
        <w:rPr>
          <w:b/>
          <w:bCs/>
          <w:sz w:val="28"/>
          <w:szCs w:val="28"/>
        </w:rPr>
        <w:t>Aplikovanie finančnej gramotnosti ako prierezovej témy do výchovno-vzdelávacieho procesu</w:t>
      </w:r>
    </w:p>
    <w:p w14:paraId="3421B94C" w14:textId="53001D3F" w:rsidR="00881F28" w:rsidRPr="00AA7EE4" w:rsidRDefault="00881F28" w:rsidP="00881F28">
      <w:pPr>
        <w:rPr>
          <w:b/>
          <w:bCs/>
          <w:sz w:val="28"/>
          <w:szCs w:val="28"/>
        </w:rPr>
      </w:pPr>
      <w:r>
        <w:t xml:space="preserve">Poskytovateľ: </w:t>
      </w:r>
      <w:r w:rsidRPr="00881F28">
        <w:rPr>
          <w:b/>
          <w:bCs/>
        </w:rPr>
        <w:t>Akadémia+</w:t>
      </w:r>
      <w:r>
        <w:t xml:space="preserve"> | Akreditácia: MŠVVaŠ SR | Rozsah: 50 hodín (dištančná metóda)</w:t>
      </w:r>
    </w:p>
    <w:p w14:paraId="0CCE645E" w14:textId="0E647A2D" w:rsidR="00881F28" w:rsidRDefault="00881F28" w:rsidP="00881F2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FC6E5" wp14:editId="47829A79">
                <wp:simplePos x="0" y="0"/>
                <wp:positionH relativeFrom="column">
                  <wp:posOffset>-93395</wp:posOffset>
                </wp:positionH>
                <wp:positionV relativeFrom="paragraph">
                  <wp:posOffset>131085</wp:posOffset>
                </wp:positionV>
                <wp:extent cx="6084000" cy="691200"/>
                <wp:effectExtent l="0" t="0" r="12065" b="7620"/>
                <wp:wrapNone/>
                <wp:docPr id="531951413" name="Pravo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691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A5D6C" id="Pravouholník 1" o:spid="_x0000_s1026" style="position:absolute;margin-left:-7.35pt;margin-top:10.3pt;width:479.05pt;height:54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+oRagIAAEcFAAAOAAAAZHJzL2Uyb0RvYy54bWysVMFu2zAMvQ/YPwi6r7aDtGuDOkXQIsOA&#13;&#10;oi3WDj0rshQbkEWNUuJkXz9KdpygKzZgWA4KaZKP5BOp65tda9hWoW/Alrw4yzlTVkLV2HXJv78s&#13;&#10;P11y5oOwlTBgVcn3yvOb+ccP152bqQnUYCqFjECsn3Wu5HUIbpZlXtaqFf4MnLJk1ICtCKTiOqtQ&#13;&#10;dITemmyS5xdZB1g5BKm8p693vZHPE77WSoZHrb0KzJScagvpxHSu4pnNr8VsjcLVjRzKEP9QRSsa&#13;&#10;S0lHqDsRBNtg8xtU20gEDzqcSWgz0LqRKvVA3RT5m26ea+FU6oXI8W6kyf8/WPmwfXZPSDR0zs88&#13;&#10;ibGLncY2/lN9bJfI2o9kqV1gkj5e5JfTPCdOJdkurgq6jchmdox26MMXBS2LQsmRLiNxJLb3PvSu&#13;&#10;B5eYzINpqmVjTFJwvbo1yLaCLm5JvxH9xC071pyksDcqBhv7TWnWVFTlJGVM46RGPCGlsmHam2pR&#13;&#10;qT5NcR776QsbI1JHCTAiaypvxC7+hN3DDP4xVKVpHIPzvwePESkz2DAGt40FfA/AhGJoQPf+VP4J&#13;&#10;NVFcQbV/QobQ74J3ctnQ/dwLH54E0vDTldJCh0c6tIGu5DBInNWAP9/7Hv1pJsnKWUfLVHL/YyNQ&#13;&#10;cWa+WprWq2I6jduXlOn55wkpeGpZnVrspr0FuvaCng4nkxj9gzmIGqF9pb1fxKxkElZS7pLLgAfl&#13;&#10;NvRLTi+HVItFcqONcyLc22cnI3hkNc7fy+5VoBuGNNB4P8Bh8cTszaz2vjHSwmITQDdpkI+8DnzT&#13;&#10;tqbBGV6W+Byc6snr+P7NfwEAAP//AwBQSwMEFAAGAAgAAAAhAItdq4jhAAAADwEAAA8AAABkcnMv&#13;&#10;ZG93bnJldi54bWxMj8FOwzAQRO9I/IO1SNxapyFtSRqnQlQVZwIf4MZLHIjXIXba9O9ZTnBZabVv&#13;&#10;ZmfK/ex6ccYxdJ4UrJYJCKTGm45aBe9vx8UjiBA1Gd17QgVXDLCvbm9KXRh/oVc817EVbEKh0Aps&#13;&#10;jEMhZWgsOh2WfkDi24cfnY68jq00o76wuetlmiQb6XRH/MHqAZ8tNl/15BS8bA8+fq/D3Hya+njN&#13;&#10;awqTJaXu7+bDjsfTDkTEOf4p4LcD54eKg538RCaIXsFilW0ZVZAmGxAM5NlDBuLEZJqvQVal/N+j&#13;&#10;+gEAAP//AwBQSwECLQAUAAYACAAAACEAtoM4kv4AAADhAQAAEwAAAAAAAAAAAAAAAAAAAAAAW0Nv&#13;&#10;bnRlbnRfVHlwZXNdLnhtbFBLAQItABQABgAIAAAAIQA4/SH/1gAAAJQBAAALAAAAAAAAAAAAAAAA&#13;&#10;AC8BAABfcmVscy8ucmVsc1BLAQItABQABgAIAAAAIQAV4+oRagIAAEcFAAAOAAAAAAAAAAAAAAAA&#13;&#10;AC4CAABkcnMvZTJvRG9jLnhtbFBLAQItABQABgAIAAAAIQCLXauI4QAAAA8BAAAPAAAAAAAAAAAA&#13;&#10;AAAAAMQEAABkcnMvZG93bnJldi54bWxQSwUGAAAAAAQABADzAAAA0gUAAAAA&#13;&#10;" fillcolor="yellow" strokecolor="#261c00 [487]" strokeweight="1pt"/>
            </w:pict>
          </mc:Fallback>
        </mc:AlternateContent>
      </w:r>
    </w:p>
    <w:p w14:paraId="64ED1B43" w14:textId="028EC2AC" w:rsidR="00881F28" w:rsidRDefault="00881F28" w:rsidP="00881F28">
      <w:pPr>
        <w:jc w:val="both"/>
      </w:pPr>
      <w:r>
        <w:t>Hodnotenie bolo zozbierané prostredníctvom anonymného dotazníka od účastníkov inovačného vzdelávania v rok</w:t>
      </w:r>
      <w:r>
        <w:t>u</w:t>
      </w:r>
      <w:r>
        <w:t xml:space="preserve"> 2025. Celkový počet </w:t>
      </w:r>
      <w:r>
        <w:t>účastníkov vzdelávania</w:t>
      </w:r>
      <w:r>
        <w:t>:</w:t>
      </w:r>
      <w:r>
        <w:t>313. Počet reakcií na vzdelávanie:</w:t>
      </w:r>
      <w:r>
        <w:t xml:space="preserve"> 38. Hodnotenie prebieha na škále 1–10, pričom 10 je najvyššie hodnotenie.</w:t>
      </w:r>
    </w:p>
    <w:p w14:paraId="773BC8DE" w14:textId="77777777" w:rsidR="00881F28" w:rsidRDefault="00881F28" w:rsidP="00881F28"/>
    <w:p w14:paraId="4B95E7FB" w14:textId="77777777" w:rsidR="00881F28" w:rsidRPr="00881F28" w:rsidRDefault="00881F28" w:rsidP="00881F28">
      <w:pPr>
        <w:rPr>
          <w:b/>
          <w:bCs/>
          <w:u w:val="single"/>
        </w:rPr>
      </w:pPr>
      <w:r w:rsidRPr="00881F28">
        <w:rPr>
          <w:b/>
          <w:bCs/>
          <w:u w:val="single"/>
        </w:rPr>
        <w:t>1. Celkové výsledky hodnotenia</w:t>
      </w:r>
    </w:p>
    <w:p w14:paraId="50F16146" w14:textId="77777777" w:rsidR="00881F28" w:rsidRDefault="00881F28" w:rsidP="00881F28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  <w:gridCol w:w="1701"/>
      </w:tblGrid>
      <w:tr w:rsidR="00881F28" w14:paraId="375178B2" w14:textId="77777777" w:rsidTr="00AA7EE4">
        <w:trPr>
          <w:trHeight w:val="293"/>
        </w:trPr>
        <w:tc>
          <w:tcPr>
            <w:tcW w:w="5240" w:type="dxa"/>
          </w:tcPr>
          <w:p w14:paraId="121ADA36" w14:textId="4B2ABEC2" w:rsidR="00881F28" w:rsidRPr="00AA7EE4" w:rsidRDefault="00881F28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Ukazovateľ </w:t>
            </w:r>
          </w:p>
        </w:tc>
        <w:tc>
          <w:tcPr>
            <w:tcW w:w="1701" w:type="dxa"/>
          </w:tcPr>
          <w:p w14:paraId="2B31FA06" w14:textId="23266484" w:rsidR="00881F28" w:rsidRPr="00AA7EE4" w:rsidRDefault="00881F28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>Spokojnosť %</w:t>
            </w:r>
          </w:p>
        </w:tc>
      </w:tr>
      <w:tr w:rsidR="00881F28" w14:paraId="3A3C7AA9" w14:textId="77777777" w:rsidTr="00AA7EE4">
        <w:trPr>
          <w:trHeight w:val="293"/>
        </w:trPr>
        <w:tc>
          <w:tcPr>
            <w:tcW w:w="5240" w:type="dxa"/>
          </w:tcPr>
          <w:p w14:paraId="2BBDF065" w14:textId="2F68735F" w:rsidR="00881F28" w:rsidRDefault="00881F28" w:rsidP="00AA7EE4">
            <w:r>
              <w:t>Odporúčanie vzdelávania kolegom</w:t>
            </w:r>
          </w:p>
        </w:tc>
        <w:tc>
          <w:tcPr>
            <w:tcW w:w="1701" w:type="dxa"/>
          </w:tcPr>
          <w:p w14:paraId="30BC1348" w14:textId="5E8AB5B1" w:rsidR="00881F28" w:rsidRDefault="00881F28" w:rsidP="00AA7EE4">
            <w:pPr>
              <w:jc w:val="center"/>
            </w:pPr>
            <w:r>
              <w:t>96,3%</w:t>
            </w:r>
          </w:p>
        </w:tc>
      </w:tr>
      <w:tr w:rsidR="00881F28" w14:paraId="5F3E0EC9" w14:textId="77777777" w:rsidTr="00AA7EE4">
        <w:trPr>
          <w:trHeight w:val="293"/>
        </w:trPr>
        <w:tc>
          <w:tcPr>
            <w:tcW w:w="5240" w:type="dxa"/>
          </w:tcPr>
          <w:p w14:paraId="153C5234" w14:textId="2F4ED2AE" w:rsidR="00881F28" w:rsidRDefault="00881F28" w:rsidP="00AA7EE4">
            <w:r>
              <w:t>Využiteľnosť poznatkov v profesijnom rozvoji</w:t>
            </w:r>
          </w:p>
        </w:tc>
        <w:tc>
          <w:tcPr>
            <w:tcW w:w="1701" w:type="dxa"/>
          </w:tcPr>
          <w:p w14:paraId="462A48F7" w14:textId="050DDD15" w:rsidR="00881F28" w:rsidRDefault="00881F28" w:rsidP="00AA7EE4">
            <w:pPr>
              <w:jc w:val="center"/>
            </w:pPr>
            <w:r>
              <w:t>97,1%</w:t>
            </w:r>
          </w:p>
        </w:tc>
      </w:tr>
      <w:tr w:rsidR="00881F28" w14:paraId="7610CA93" w14:textId="77777777" w:rsidTr="00AA7EE4">
        <w:trPr>
          <w:trHeight w:val="293"/>
        </w:trPr>
        <w:tc>
          <w:tcPr>
            <w:tcW w:w="5240" w:type="dxa"/>
          </w:tcPr>
          <w:p w14:paraId="7B86BC11" w14:textId="71736ABB" w:rsidR="00881F28" w:rsidRDefault="00881F28" w:rsidP="00AA7EE4">
            <w:r>
              <w:t>Záujem o školenie pre žiakov od našich lektorov</w:t>
            </w:r>
          </w:p>
        </w:tc>
        <w:tc>
          <w:tcPr>
            <w:tcW w:w="1701" w:type="dxa"/>
          </w:tcPr>
          <w:p w14:paraId="7AE9CAAA" w14:textId="28B12AB9" w:rsidR="00881F28" w:rsidRDefault="00881F28" w:rsidP="00AA7EE4">
            <w:pPr>
              <w:jc w:val="center"/>
            </w:pPr>
            <w:r>
              <w:t>82%</w:t>
            </w:r>
          </w:p>
        </w:tc>
      </w:tr>
    </w:tbl>
    <w:p w14:paraId="218D82A6" w14:textId="77777777" w:rsidR="00881F28" w:rsidRDefault="00881F28" w:rsidP="00881F28"/>
    <w:p w14:paraId="73A6BA8E" w14:textId="77777777" w:rsidR="00881F28" w:rsidRDefault="00881F28" w:rsidP="00881F28">
      <w:pPr>
        <w:rPr>
          <w:b/>
          <w:bCs/>
          <w:u w:val="single"/>
        </w:rPr>
      </w:pPr>
      <w:r w:rsidRPr="00881F28">
        <w:rPr>
          <w:b/>
          <w:bCs/>
          <w:u w:val="single"/>
        </w:rPr>
        <w:t>2. Hodnotenie komunikácie organizátorov</w:t>
      </w:r>
    </w:p>
    <w:p w14:paraId="2D571C79" w14:textId="77777777" w:rsidR="00881F28" w:rsidRPr="00881F28" w:rsidRDefault="00881F28" w:rsidP="00881F28">
      <w:pPr>
        <w:rPr>
          <w:b/>
          <w:bCs/>
          <w:u w:val="single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1843"/>
      </w:tblGrid>
      <w:tr w:rsidR="00881F28" w14:paraId="6C27F5C3" w14:textId="77777777" w:rsidTr="00AA7EE4">
        <w:tc>
          <w:tcPr>
            <w:tcW w:w="4531" w:type="dxa"/>
          </w:tcPr>
          <w:p w14:paraId="0538D932" w14:textId="6C2312E8" w:rsidR="00881F28" w:rsidRPr="00AA7EE4" w:rsidRDefault="00A005DA" w:rsidP="00AA7EE4">
            <w:pPr>
              <w:tabs>
                <w:tab w:val="left" w:pos="673"/>
              </w:tabs>
              <w:ind w:right="-4730"/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Oblasť </w:t>
            </w:r>
          </w:p>
        </w:tc>
        <w:tc>
          <w:tcPr>
            <w:tcW w:w="1843" w:type="dxa"/>
          </w:tcPr>
          <w:p w14:paraId="70F117B9" w14:textId="09FE0152" w:rsidR="00881F28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>Spokojnosť %</w:t>
            </w:r>
          </w:p>
        </w:tc>
      </w:tr>
      <w:tr w:rsidR="00881F28" w14:paraId="3C896697" w14:textId="77777777" w:rsidTr="00AA7EE4">
        <w:tc>
          <w:tcPr>
            <w:tcW w:w="4531" w:type="dxa"/>
          </w:tcPr>
          <w:p w14:paraId="540C26B6" w14:textId="3B1574D2" w:rsidR="00881F28" w:rsidRDefault="00A005DA" w:rsidP="00881F28">
            <w:r>
              <w:t xml:space="preserve">Komunikácia pred vzdelávaním </w:t>
            </w:r>
          </w:p>
        </w:tc>
        <w:tc>
          <w:tcPr>
            <w:tcW w:w="1843" w:type="dxa"/>
          </w:tcPr>
          <w:p w14:paraId="7135EB1B" w14:textId="2FC0B56D" w:rsidR="00881F28" w:rsidRDefault="00A005DA" w:rsidP="00AA7EE4">
            <w:pPr>
              <w:jc w:val="center"/>
            </w:pPr>
            <w:r>
              <w:t>96,8 %</w:t>
            </w:r>
          </w:p>
        </w:tc>
      </w:tr>
      <w:tr w:rsidR="00881F28" w14:paraId="5A25C4A0" w14:textId="77777777" w:rsidTr="00AA7EE4">
        <w:tc>
          <w:tcPr>
            <w:tcW w:w="4531" w:type="dxa"/>
          </w:tcPr>
          <w:p w14:paraId="431CE411" w14:textId="30D1D3B7" w:rsidR="00881F28" w:rsidRDefault="00A005DA" w:rsidP="00881F28">
            <w:r>
              <w:t>Komunikácia počas vzdelávania</w:t>
            </w:r>
          </w:p>
        </w:tc>
        <w:tc>
          <w:tcPr>
            <w:tcW w:w="1843" w:type="dxa"/>
          </w:tcPr>
          <w:p w14:paraId="466635AB" w14:textId="0EFCF59C" w:rsidR="00881F28" w:rsidRDefault="00A005DA" w:rsidP="00AA7EE4">
            <w:pPr>
              <w:jc w:val="center"/>
            </w:pPr>
            <w:r>
              <w:t>96,8 %</w:t>
            </w:r>
          </w:p>
        </w:tc>
      </w:tr>
      <w:tr w:rsidR="00881F28" w14:paraId="75592EB1" w14:textId="77777777" w:rsidTr="00AA7EE4">
        <w:tc>
          <w:tcPr>
            <w:tcW w:w="4531" w:type="dxa"/>
          </w:tcPr>
          <w:p w14:paraId="7E318B63" w14:textId="5AF7B0F9" w:rsidR="00881F28" w:rsidRDefault="00A005DA" w:rsidP="00881F28">
            <w:r>
              <w:t>Komunikácia po ukončení vzdelávania</w:t>
            </w:r>
          </w:p>
        </w:tc>
        <w:tc>
          <w:tcPr>
            <w:tcW w:w="1843" w:type="dxa"/>
          </w:tcPr>
          <w:p w14:paraId="4DBD61AE" w14:textId="19672170" w:rsidR="00881F28" w:rsidRDefault="00A005DA" w:rsidP="00AA7EE4">
            <w:pPr>
              <w:jc w:val="center"/>
            </w:pPr>
            <w:r>
              <w:t>96,8 %</w:t>
            </w:r>
          </w:p>
        </w:tc>
      </w:tr>
    </w:tbl>
    <w:p w14:paraId="6FD01F4E" w14:textId="77777777" w:rsidR="00881F28" w:rsidRDefault="00881F28" w:rsidP="00881F28"/>
    <w:p w14:paraId="1E4DDF29" w14:textId="77777777" w:rsidR="00881F28" w:rsidRPr="00A005DA" w:rsidRDefault="00881F28" w:rsidP="00881F28">
      <w:pPr>
        <w:rPr>
          <w:b/>
          <w:bCs/>
          <w:u w:val="single"/>
        </w:rPr>
      </w:pPr>
      <w:r w:rsidRPr="00A005DA">
        <w:rPr>
          <w:b/>
          <w:bCs/>
          <w:u w:val="single"/>
        </w:rPr>
        <w:t>3. Organizácia a logistika vzdelávania</w:t>
      </w:r>
    </w:p>
    <w:p w14:paraId="73E60008" w14:textId="77777777" w:rsidR="00881F28" w:rsidRDefault="00881F28" w:rsidP="00881F2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A005DA" w14:paraId="000531E0" w14:textId="77777777" w:rsidTr="00AA7EE4">
        <w:tc>
          <w:tcPr>
            <w:tcW w:w="5382" w:type="dxa"/>
          </w:tcPr>
          <w:p w14:paraId="0DD423B6" w14:textId="751E7E7E" w:rsidR="00A005DA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Oblasť </w:t>
            </w:r>
          </w:p>
        </w:tc>
        <w:tc>
          <w:tcPr>
            <w:tcW w:w="1559" w:type="dxa"/>
          </w:tcPr>
          <w:p w14:paraId="1E6ABDEF" w14:textId="7B0D8978" w:rsidR="00A005DA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Spokojnosť % </w:t>
            </w:r>
          </w:p>
        </w:tc>
      </w:tr>
      <w:tr w:rsidR="00A005DA" w14:paraId="1D517056" w14:textId="77777777" w:rsidTr="00AA7EE4">
        <w:tc>
          <w:tcPr>
            <w:tcW w:w="5382" w:type="dxa"/>
          </w:tcPr>
          <w:p w14:paraId="62570CC1" w14:textId="4490B01E" w:rsidR="00A005DA" w:rsidRDefault="00A005DA" w:rsidP="00881F28">
            <w:r>
              <w:t>Vzdelávacie materiály</w:t>
            </w:r>
          </w:p>
        </w:tc>
        <w:tc>
          <w:tcPr>
            <w:tcW w:w="1559" w:type="dxa"/>
          </w:tcPr>
          <w:p w14:paraId="409132AA" w14:textId="247A8F45" w:rsidR="00A005DA" w:rsidRDefault="00A005DA" w:rsidP="00AA7EE4">
            <w:pPr>
              <w:jc w:val="center"/>
            </w:pPr>
            <w:r>
              <w:t>95,5 %</w:t>
            </w:r>
          </w:p>
        </w:tc>
      </w:tr>
      <w:tr w:rsidR="00A005DA" w14:paraId="7C3BC3B2" w14:textId="77777777" w:rsidTr="00AA7EE4">
        <w:trPr>
          <w:trHeight w:val="348"/>
        </w:trPr>
        <w:tc>
          <w:tcPr>
            <w:tcW w:w="5382" w:type="dxa"/>
          </w:tcPr>
          <w:p w14:paraId="584F5F25" w14:textId="1576AD90" w:rsidR="00A005DA" w:rsidRDefault="00A005DA" w:rsidP="00881F28">
            <w:r>
              <w:t>Využívanie digitálnych technológií</w:t>
            </w:r>
          </w:p>
        </w:tc>
        <w:tc>
          <w:tcPr>
            <w:tcW w:w="1559" w:type="dxa"/>
          </w:tcPr>
          <w:p w14:paraId="7801E85A" w14:textId="3DA12331" w:rsidR="00A005DA" w:rsidRDefault="00A005DA" w:rsidP="00AA7EE4">
            <w:pPr>
              <w:jc w:val="center"/>
            </w:pPr>
            <w:r>
              <w:t>94,7 %</w:t>
            </w:r>
          </w:p>
        </w:tc>
      </w:tr>
      <w:tr w:rsidR="00A005DA" w14:paraId="40420A9C" w14:textId="77777777" w:rsidTr="00AA7EE4">
        <w:tc>
          <w:tcPr>
            <w:tcW w:w="5382" w:type="dxa"/>
          </w:tcPr>
          <w:p w14:paraId="1BCF7F60" w14:textId="00BA92BA" w:rsidR="00A005DA" w:rsidRDefault="00A005DA" w:rsidP="00881F28">
            <w:r>
              <w:t>Materiálno-technické vybavenie miesta vzdelávania</w:t>
            </w:r>
          </w:p>
        </w:tc>
        <w:tc>
          <w:tcPr>
            <w:tcW w:w="1559" w:type="dxa"/>
          </w:tcPr>
          <w:p w14:paraId="02563529" w14:textId="30EBB699" w:rsidR="00A005DA" w:rsidRDefault="00A005DA" w:rsidP="00AA7EE4">
            <w:pPr>
              <w:jc w:val="center"/>
            </w:pPr>
            <w:r>
              <w:t>95,5 %</w:t>
            </w:r>
          </w:p>
        </w:tc>
      </w:tr>
      <w:tr w:rsidR="00A005DA" w14:paraId="124FB2D0" w14:textId="77777777" w:rsidTr="00AA7EE4">
        <w:tc>
          <w:tcPr>
            <w:tcW w:w="5382" w:type="dxa"/>
          </w:tcPr>
          <w:p w14:paraId="409DDCAA" w14:textId="11172802" w:rsidR="00A005DA" w:rsidRDefault="00A005DA" w:rsidP="00881F28">
            <w:r>
              <w:t>Frekvencia vzdelávacích aktivít</w:t>
            </w:r>
          </w:p>
        </w:tc>
        <w:tc>
          <w:tcPr>
            <w:tcW w:w="1559" w:type="dxa"/>
          </w:tcPr>
          <w:p w14:paraId="03273603" w14:textId="69CFD5C1" w:rsidR="00A005DA" w:rsidRDefault="00A005DA" w:rsidP="00AA7EE4">
            <w:pPr>
              <w:jc w:val="center"/>
            </w:pPr>
            <w:r>
              <w:t>95,5 %</w:t>
            </w:r>
          </w:p>
        </w:tc>
      </w:tr>
      <w:tr w:rsidR="00A005DA" w14:paraId="489C92AC" w14:textId="77777777" w:rsidTr="00AA7EE4">
        <w:tc>
          <w:tcPr>
            <w:tcW w:w="5382" w:type="dxa"/>
          </w:tcPr>
          <w:p w14:paraId="168B7F01" w14:textId="570B093D" w:rsidR="00A005DA" w:rsidRDefault="00A005DA" w:rsidP="00881F28">
            <w:r>
              <w:t>Časový harmonogram vzdelávania</w:t>
            </w:r>
          </w:p>
        </w:tc>
        <w:tc>
          <w:tcPr>
            <w:tcW w:w="1559" w:type="dxa"/>
          </w:tcPr>
          <w:p w14:paraId="0093FEA4" w14:textId="57985830" w:rsidR="00A005DA" w:rsidRDefault="00A005DA" w:rsidP="00AA7EE4">
            <w:pPr>
              <w:jc w:val="center"/>
            </w:pPr>
            <w:r>
              <w:t>94,2 %</w:t>
            </w:r>
          </w:p>
        </w:tc>
      </w:tr>
      <w:tr w:rsidR="00A005DA" w14:paraId="730C384B" w14:textId="77777777" w:rsidTr="00AA7EE4">
        <w:tc>
          <w:tcPr>
            <w:tcW w:w="5382" w:type="dxa"/>
          </w:tcPr>
          <w:p w14:paraId="39B3BA0F" w14:textId="4D30087B" w:rsidR="00A005DA" w:rsidRDefault="00A005DA" w:rsidP="00881F28">
            <w:r>
              <w:t>Rozvrhnutie vzdelávania</w:t>
            </w:r>
          </w:p>
        </w:tc>
        <w:tc>
          <w:tcPr>
            <w:tcW w:w="1559" w:type="dxa"/>
          </w:tcPr>
          <w:p w14:paraId="3EF5B421" w14:textId="3EEE53DD" w:rsidR="00A005DA" w:rsidRDefault="00A005DA" w:rsidP="00AA7EE4">
            <w:pPr>
              <w:jc w:val="center"/>
            </w:pPr>
            <w:r>
              <w:t>93,9 %</w:t>
            </w:r>
          </w:p>
        </w:tc>
      </w:tr>
      <w:tr w:rsidR="00A005DA" w14:paraId="6B361186" w14:textId="77777777" w:rsidTr="00AA7EE4">
        <w:tc>
          <w:tcPr>
            <w:tcW w:w="5382" w:type="dxa"/>
          </w:tcPr>
          <w:p w14:paraId="36D87B13" w14:textId="70E4A214" w:rsidR="00A005DA" w:rsidRDefault="00A005DA" w:rsidP="00881F28">
            <w:r>
              <w:t>Dostupnosť miesta vzdelávania</w:t>
            </w:r>
          </w:p>
        </w:tc>
        <w:tc>
          <w:tcPr>
            <w:tcW w:w="1559" w:type="dxa"/>
          </w:tcPr>
          <w:p w14:paraId="29F65C0C" w14:textId="46E3DE21" w:rsidR="00A005DA" w:rsidRDefault="00A005DA" w:rsidP="00AA7EE4">
            <w:pPr>
              <w:jc w:val="center"/>
            </w:pPr>
            <w:r>
              <w:t>96,8 %</w:t>
            </w:r>
          </w:p>
        </w:tc>
      </w:tr>
      <w:tr w:rsidR="00A005DA" w14:paraId="46010C3E" w14:textId="77777777" w:rsidTr="00AA7EE4">
        <w:tc>
          <w:tcPr>
            <w:tcW w:w="5382" w:type="dxa"/>
          </w:tcPr>
          <w:p w14:paraId="48B7D509" w14:textId="363BE303" w:rsidR="00A005DA" w:rsidRDefault="00A005DA" w:rsidP="00881F28">
            <w:r>
              <w:t>Celková časová dotácia vzdelávania</w:t>
            </w:r>
          </w:p>
        </w:tc>
        <w:tc>
          <w:tcPr>
            <w:tcW w:w="1559" w:type="dxa"/>
          </w:tcPr>
          <w:p w14:paraId="4F74918F" w14:textId="6CEBD0E7" w:rsidR="00A005DA" w:rsidRDefault="00A005DA" w:rsidP="00AA7EE4">
            <w:pPr>
              <w:jc w:val="center"/>
            </w:pPr>
            <w:r>
              <w:t>96,6 %</w:t>
            </w:r>
          </w:p>
        </w:tc>
      </w:tr>
    </w:tbl>
    <w:p w14:paraId="77AF120C" w14:textId="77777777" w:rsidR="00881F28" w:rsidRDefault="00881F28" w:rsidP="00881F28"/>
    <w:p w14:paraId="1254518B" w14:textId="77777777" w:rsidR="00881F28" w:rsidRPr="00A005DA" w:rsidRDefault="00881F28" w:rsidP="00881F28">
      <w:pPr>
        <w:rPr>
          <w:b/>
          <w:bCs/>
          <w:u w:val="single"/>
        </w:rPr>
      </w:pPr>
      <w:r w:rsidRPr="00A005DA">
        <w:rPr>
          <w:b/>
          <w:bCs/>
          <w:u w:val="single"/>
        </w:rPr>
        <w:t>4. Hodnotenie lektorov</w:t>
      </w:r>
    </w:p>
    <w:p w14:paraId="512A6ED4" w14:textId="77777777" w:rsidR="00881F28" w:rsidRDefault="00881F28" w:rsidP="00881F2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1701"/>
      </w:tblGrid>
      <w:tr w:rsidR="00A005DA" w14:paraId="45DB834D" w14:textId="77777777" w:rsidTr="00A005DA">
        <w:tc>
          <w:tcPr>
            <w:tcW w:w="4815" w:type="dxa"/>
          </w:tcPr>
          <w:p w14:paraId="6CB3BECD" w14:textId="141CDBD1" w:rsidR="00A005DA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Oblasť </w:t>
            </w:r>
          </w:p>
        </w:tc>
        <w:tc>
          <w:tcPr>
            <w:tcW w:w="1701" w:type="dxa"/>
          </w:tcPr>
          <w:p w14:paraId="46ABBF6D" w14:textId="2052F126" w:rsidR="00A005DA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Spokojnosť % </w:t>
            </w:r>
          </w:p>
        </w:tc>
      </w:tr>
      <w:tr w:rsidR="00A005DA" w14:paraId="15F74ED5" w14:textId="77777777" w:rsidTr="00A005DA">
        <w:tc>
          <w:tcPr>
            <w:tcW w:w="4815" w:type="dxa"/>
          </w:tcPr>
          <w:p w14:paraId="1148FE7D" w14:textId="342922F3" w:rsidR="00A005DA" w:rsidRDefault="00A005DA" w:rsidP="00881F28">
            <w:r>
              <w:t>Dostupnosť a ochota lektora (konzultácie)</w:t>
            </w:r>
          </w:p>
        </w:tc>
        <w:tc>
          <w:tcPr>
            <w:tcW w:w="1701" w:type="dxa"/>
          </w:tcPr>
          <w:p w14:paraId="3857A8E6" w14:textId="2D008E23" w:rsidR="00A005DA" w:rsidRDefault="00A005DA" w:rsidP="00AA7EE4">
            <w:pPr>
              <w:jc w:val="center"/>
            </w:pPr>
            <w:r>
              <w:t>96,3%</w:t>
            </w:r>
          </w:p>
        </w:tc>
      </w:tr>
      <w:tr w:rsidR="00A005DA" w14:paraId="1B0FB5FC" w14:textId="77777777" w:rsidTr="00A005DA">
        <w:tc>
          <w:tcPr>
            <w:tcW w:w="4815" w:type="dxa"/>
          </w:tcPr>
          <w:p w14:paraId="4B97FB99" w14:textId="3E203902" w:rsidR="00A005DA" w:rsidRDefault="00A005DA" w:rsidP="00881F28">
            <w:r>
              <w:t>Použité metódy vzdelávania</w:t>
            </w:r>
          </w:p>
        </w:tc>
        <w:tc>
          <w:tcPr>
            <w:tcW w:w="1701" w:type="dxa"/>
          </w:tcPr>
          <w:p w14:paraId="209BFB98" w14:textId="4DE2312C" w:rsidR="00A005DA" w:rsidRDefault="00A005DA" w:rsidP="00AA7EE4">
            <w:pPr>
              <w:jc w:val="center"/>
            </w:pPr>
            <w:r>
              <w:t>97,1 %</w:t>
            </w:r>
          </w:p>
        </w:tc>
      </w:tr>
      <w:tr w:rsidR="00A005DA" w14:paraId="6CA7FD54" w14:textId="77777777" w:rsidTr="00A005DA">
        <w:tc>
          <w:tcPr>
            <w:tcW w:w="4815" w:type="dxa"/>
          </w:tcPr>
          <w:p w14:paraId="44C54E20" w14:textId="7D37C48F" w:rsidR="00A005DA" w:rsidRDefault="00A005DA" w:rsidP="00881F28">
            <w:r>
              <w:t>Použité formy vzdelávania</w:t>
            </w:r>
          </w:p>
        </w:tc>
        <w:tc>
          <w:tcPr>
            <w:tcW w:w="1701" w:type="dxa"/>
          </w:tcPr>
          <w:p w14:paraId="605309B3" w14:textId="1B98FDB2" w:rsidR="00A005DA" w:rsidRDefault="00A005DA" w:rsidP="00AA7EE4">
            <w:pPr>
              <w:jc w:val="center"/>
            </w:pPr>
            <w:r>
              <w:t>97,1 %</w:t>
            </w:r>
          </w:p>
        </w:tc>
      </w:tr>
      <w:tr w:rsidR="00A005DA" w14:paraId="650333D4" w14:textId="77777777" w:rsidTr="00A005DA">
        <w:tc>
          <w:tcPr>
            <w:tcW w:w="4815" w:type="dxa"/>
          </w:tcPr>
          <w:p w14:paraId="03AE6F8A" w14:textId="6F347A6C" w:rsidR="00A005DA" w:rsidRDefault="00A005DA" w:rsidP="00881F28">
            <w:r>
              <w:lastRenderedPageBreak/>
              <w:t>Úroveň komunikácie lektora s účastníkmi</w:t>
            </w:r>
          </w:p>
        </w:tc>
        <w:tc>
          <w:tcPr>
            <w:tcW w:w="1701" w:type="dxa"/>
          </w:tcPr>
          <w:p w14:paraId="55F9A386" w14:textId="0BF4AFE1" w:rsidR="00A005DA" w:rsidRDefault="00A005DA" w:rsidP="00AA7EE4">
            <w:pPr>
              <w:jc w:val="center"/>
            </w:pPr>
            <w:r>
              <w:t>96,8 %</w:t>
            </w:r>
          </w:p>
        </w:tc>
      </w:tr>
      <w:tr w:rsidR="00A005DA" w14:paraId="631BB5ED" w14:textId="77777777" w:rsidTr="00A005DA">
        <w:tc>
          <w:tcPr>
            <w:tcW w:w="4815" w:type="dxa"/>
          </w:tcPr>
          <w:p w14:paraId="46E83849" w14:textId="6A3862F4" w:rsidR="00A005DA" w:rsidRDefault="00A005DA" w:rsidP="00881F28">
            <w:r>
              <w:t>Prístup lektora k účastníkom</w:t>
            </w:r>
          </w:p>
        </w:tc>
        <w:tc>
          <w:tcPr>
            <w:tcW w:w="1701" w:type="dxa"/>
          </w:tcPr>
          <w:p w14:paraId="55C4346A" w14:textId="5FF74CAF" w:rsidR="00A005DA" w:rsidRDefault="00A005DA" w:rsidP="00AA7EE4">
            <w:pPr>
              <w:jc w:val="center"/>
            </w:pPr>
            <w:r>
              <w:t>97,4 %</w:t>
            </w:r>
          </w:p>
        </w:tc>
      </w:tr>
      <w:tr w:rsidR="00A005DA" w14:paraId="66321FBC" w14:textId="77777777" w:rsidTr="00A005DA">
        <w:tc>
          <w:tcPr>
            <w:tcW w:w="4815" w:type="dxa"/>
          </w:tcPr>
          <w:p w14:paraId="391F22C2" w14:textId="4D1A95D8" w:rsidR="00A005DA" w:rsidRDefault="00A005DA" w:rsidP="00881F28">
            <w:r>
              <w:t>Rozsah a úroveň odborných vedomostí lektora</w:t>
            </w:r>
          </w:p>
        </w:tc>
        <w:tc>
          <w:tcPr>
            <w:tcW w:w="1701" w:type="dxa"/>
          </w:tcPr>
          <w:p w14:paraId="7A854843" w14:textId="40537BC9" w:rsidR="00A005DA" w:rsidRDefault="00A005DA" w:rsidP="00AA7EE4">
            <w:pPr>
              <w:jc w:val="center"/>
            </w:pPr>
            <w:r>
              <w:t>97,9 %</w:t>
            </w:r>
          </w:p>
        </w:tc>
      </w:tr>
    </w:tbl>
    <w:p w14:paraId="6DA75DF6" w14:textId="77777777" w:rsidR="00881F28" w:rsidRDefault="00881F28" w:rsidP="00881F28"/>
    <w:p w14:paraId="48CCA5BF" w14:textId="77777777" w:rsidR="00881F28" w:rsidRPr="00A005DA" w:rsidRDefault="00881F28" w:rsidP="00881F28">
      <w:pPr>
        <w:rPr>
          <w:b/>
          <w:bCs/>
          <w:u w:val="single"/>
        </w:rPr>
      </w:pPr>
      <w:r w:rsidRPr="00A005DA">
        <w:rPr>
          <w:b/>
          <w:bCs/>
          <w:u w:val="single"/>
        </w:rPr>
        <w:t>5. Hodnotenie obsahu vzdelávania</w:t>
      </w:r>
    </w:p>
    <w:p w14:paraId="6DFF6222" w14:textId="77777777" w:rsidR="00881F28" w:rsidRDefault="00881F28" w:rsidP="00881F2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701"/>
      </w:tblGrid>
      <w:tr w:rsidR="00A005DA" w14:paraId="4DD8A94D" w14:textId="77777777" w:rsidTr="00A005DA">
        <w:tc>
          <w:tcPr>
            <w:tcW w:w="4531" w:type="dxa"/>
          </w:tcPr>
          <w:p w14:paraId="3D9A5990" w14:textId="7991D9D1" w:rsidR="00A005DA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 xml:space="preserve">Oblasť </w:t>
            </w:r>
          </w:p>
        </w:tc>
        <w:tc>
          <w:tcPr>
            <w:tcW w:w="1701" w:type="dxa"/>
          </w:tcPr>
          <w:p w14:paraId="656AD0C9" w14:textId="415E8230" w:rsidR="00A005DA" w:rsidRPr="00AA7EE4" w:rsidRDefault="00A005DA" w:rsidP="00881F28">
            <w:pPr>
              <w:rPr>
                <w:b/>
                <w:bCs/>
                <w:highlight w:val="yellow"/>
              </w:rPr>
            </w:pPr>
            <w:r w:rsidRPr="00AA7EE4">
              <w:rPr>
                <w:b/>
                <w:bCs/>
                <w:highlight w:val="yellow"/>
              </w:rPr>
              <w:t>Spokojnosť %</w:t>
            </w:r>
          </w:p>
        </w:tc>
      </w:tr>
      <w:tr w:rsidR="00A005DA" w14:paraId="37BB6FB2" w14:textId="77777777" w:rsidTr="00A005DA">
        <w:tc>
          <w:tcPr>
            <w:tcW w:w="4531" w:type="dxa"/>
          </w:tcPr>
          <w:p w14:paraId="0BE3D999" w14:textId="59690871" w:rsidR="00A005DA" w:rsidRDefault="00A005DA" w:rsidP="00881F28">
            <w:r>
              <w:t>Dosiahnutie stanovených cieľov vzdelávania</w:t>
            </w:r>
          </w:p>
        </w:tc>
        <w:tc>
          <w:tcPr>
            <w:tcW w:w="1701" w:type="dxa"/>
          </w:tcPr>
          <w:p w14:paraId="3F1F8844" w14:textId="5DC0A0BD" w:rsidR="00A005DA" w:rsidRDefault="00A005DA" w:rsidP="00AA7EE4">
            <w:pPr>
              <w:jc w:val="center"/>
            </w:pPr>
            <w:r>
              <w:t>97,4 %</w:t>
            </w:r>
          </w:p>
        </w:tc>
      </w:tr>
      <w:tr w:rsidR="00A005DA" w14:paraId="4D90289C" w14:textId="77777777" w:rsidTr="00A005DA">
        <w:tc>
          <w:tcPr>
            <w:tcW w:w="4531" w:type="dxa"/>
          </w:tcPr>
          <w:p w14:paraId="2CB8D515" w14:textId="62925550" w:rsidR="00A005DA" w:rsidRDefault="00A005DA" w:rsidP="00881F28">
            <w:r>
              <w:t>Obsah vzdelávania – jednotlivé témy</w:t>
            </w:r>
          </w:p>
        </w:tc>
        <w:tc>
          <w:tcPr>
            <w:tcW w:w="1701" w:type="dxa"/>
          </w:tcPr>
          <w:p w14:paraId="49D3632A" w14:textId="41E360E1" w:rsidR="00A005DA" w:rsidRDefault="00A005DA" w:rsidP="00AA7EE4">
            <w:pPr>
              <w:jc w:val="center"/>
            </w:pPr>
            <w:r>
              <w:t>97,4 %</w:t>
            </w:r>
          </w:p>
        </w:tc>
      </w:tr>
    </w:tbl>
    <w:p w14:paraId="62F2DD35" w14:textId="77777777" w:rsidR="00A005DA" w:rsidRDefault="00A005DA" w:rsidP="00881F28"/>
    <w:p w14:paraId="74AFADD6" w14:textId="61A972EB" w:rsidR="00881F28" w:rsidRDefault="00A005DA" w:rsidP="00881F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AA95A9" wp14:editId="5465267E">
                <wp:simplePos x="0" y="0"/>
                <wp:positionH relativeFrom="column">
                  <wp:posOffset>-158195</wp:posOffset>
                </wp:positionH>
                <wp:positionV relativeFrom="paragraph">
                  <wp:posOffset>132440</wp:posOffset>
                </wp:positionV>
                <wp:extent cx="6213600" cy="1562400"/>
                <wp:effectExtent l="0" t="0" r="9525" b="12700"/>
                <wp:wrapNone/>
                <wp:docPr id="1764990045" name="Pravouho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600" cy="156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1655D" id="Pravouholník 2" o:spid="_x0000_s1026" style="position:absolute;margin-left:-12.45pt;margin-top:10.45pt;width:489.25pt;height:12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0L5cQIAAEgFAAAOAAAAZHJzL2Uyb0RvYy54bWysVE1v2zAMvQ/YfxB0X21nabYFdYqgRYYB&#13;&#10;RVusHXpWZCk2IIsapcTJfv0o2XGCrthhWA4KaZKPH3rU1fW+NWyn0DdgS15c5JwpK6Fq7KbkP55X&#13;&#10;Hz5z5oOwlTBgVckPyvPrxft3V52bqwnUYCqFjECsn3eu5HUIbp5lXtaqFf4CnLJk1ICtCKTiJqtQ&#13;&#10;dITemmyS57OsA6wcglTe09fb3sgXCV9rJcOD1l4FZkpOtYV0YjrX8cwWV2K+QeHqRg5liH+oohWN&#13;&#10;paQj1K0Igm2x+QOqbSSCBx0uJLQZaN1IlXqgbor8VTdPtXAq9ULD8W4ck/9/sPJ+9+QekcbQOT/3&#13;&#10;JMYu9hrb+E/1sX0a1mEcltoHJunjbFJ8nOU0U0m24nI2mZJCONkp3KEPXxW0LAolR7qNNCSxu/Oh&#13;&#10;dz26xGweTFOtGmOSgpv1jUG2E3RzK/qN6Gdu2anoJIWDUTHY2O9Ks6aiMicpY+KTGvGElMqGojfV&#13;&#10;olJ9muIyP2WJDIwRqaMEGJE1lTdiDwBHzx7kiN33N/jHUJXoOAbnfyusDx4jUmawYQxuGwv4FoCh&#13;&#10;robMvT+VfzaaKK6hOjwiQ+iXwTu5auh+7oQPjwKJ/XSntNHhgQ5toCs5DBJnNeCvt75HfyIlWTnr&#13;&#10;aJtK7n9uBSrOzDdLdP1STKdx/ZIyvfw0IQXPLetzi922N0DXXtDb4WQSo38wR1EjtC+0+MuYlUzC&#13;&#10;SspdchnwqNyEfsvp6ZBquUxutHJOhDv75GQEj1ON/Hvevwh0A0kD8fsejpsn5q+42vvGSAvLbQDd&#13;&#10;JCKf5jrMm9Y1EWd4WuJ7cK4nr9MDuPgNAAD//wMAUEsDBBQABgAIAAAAIQDIk8Ab5AAAAA8BAAAP&#13;&#10;AAAAZHJzL2Rvd25yZXYueG1sTE9NT8MwDL0j8R8iI3HbUspa0a7phJiQ4IC0jU0at7QJbbXEqZps&#13;&#10;a/895gQXW7af30exGq1hFz34zqGAh3kETGPtVIeNgP3n6+wJmA8SlTQOtYBJe1iVtzeFzJW74lZf&#13;&#10;dqFhRII+lwLaEPqcc1+32ko/d71Gun27wcpA49BwNcgrkVvD4yhKuZUdkkIre/3S6vq0O1vSrd5P&#13;&#10;fH9I5LQxX9P2bX1UH8lCiPu7cb2k8rwEFvQY/j7gNwP5h5KMVe6MyjMjYBYvMoIKiCPqBMiSxxRY&#13;&#10;RYs0zYCXBf+fo/wBAAD//wMAUEsBAi0AFAAGAAgAAAAhALaDOJL+AAAA4QEAABMAAAAAAAAAAAAA&#13;&#10;AAAAAAAAAFtDb250ZW50X1R5cGVzXS54bWxQSwECLQAUAAYACAAAACEAOP0h/9YAAACUAQAACwAA&#13;&#10;AAAAAAAAAAAAAAAvAQAAX3JlbHMvLnJlbHNQSwECLQAUAAYACAAAACEAfHdC+XECAABIBQAADgAA&#13;&#10;AAAAAAAAAAAAAAAuAgAAZHJzL2Uyb0RvYy54bWxQSwECLQAUAAYACAAAACEAyJPAG+QAAAAPAQAA&#13;&#10;DwAAAAAAAAAAAAAAAADLBAAAZHJzL2Rvd25yZXYueG1sUEsFBgAAAAAEAAQA8wAAANwFAAAAAA==&#13;&#10;" fillcolor="yellow" strokecolor="#09101d [484]" strokeweight="1pt"/>
            </w:pict>
          </mc:Fallback>
        </mc:AlternateContent>
      </w:r>
    </w:p>
    <w:p w14:paraId="12ACD3B8" w14:textId="302CD726" w:rsidR="00881F28" w:rsidRPr="00A005DA" w:rsidRDefault="00881F28" w:rsidP="00A005DA">
      <w:pPr>
        <w:jc w:val="center"/>
        <w:rPr>
          <w:b/>
          <w:bCs/>
          <w:sz w:val="36"/>
          <w:szCs w:val="36"/>
        </w:rPr>
      </w:pPr>
      <w:r w:rsidRPr="00A005DA">
        <w:rPr>
          <w:b/>
          <w:bCs/>
          <w:sz w:val="36"/>
          <w:szCs w:val="36"/>
        </w:rPr>
        <w:t>Celková spokojnosť účastníkov</w:t>
      </w:r>
    </w:p>
    <w:p w14:paraId="21672279" w14:textId="77777777" w:rsidR="00A005DA" w:rsidRPr="00A005DA" w:rsidRDefault="00881F28" w:rsidP="00AA7EE4">
      <w:pPr>
        <w:jc w:val="center"/>
        <w:rPr>
          <w:b/>
          <w:bCs/>
          <w:sz w:val="36"/>
          <w:szCs w:val="36"/>
        </w:rPr>
      </w:pPr>
      <w:r w:rsidRPr="00A005DA">
        <w:rPr>
          <w:b/>
          <w:bCs/>
          <w:sz w:val="36"/>
          <w:szCs w:val="36"/>
        </w:rPr>
        <w:t>96,5 %</w:t>
      </w:r>
    </w:p>
    <w:p w14:paraId="245A54A6" w14:textId="6B867C9A" w:rsidR="00881F28" w:rsidRDefault="00881F28" w:rsidP="00881F28">
      <w:r>
        <w:t>Priemerné skóre naprieč všetkými hodnotenými oblasťami | Počet respondentov: 38</w:t>
      </w:r>
    </w:p>
    <w:p w14:paraId="386E2D5C" w14:textId="77777777" w:rsidR="00881F28" w:rsidRDefault="00881F28" w:rsidP="00881F28"/>
    <w:p w14:paraId="75CF0014" w14:textId="556CD83A" w:rsidR="00881F28" w:rsidRDefault="00881F28" w:rsidP="00A005DA">
      <w:pPr>
        <w:jc w:val="center"/>
      </w:pPr>
      <w:r>
        <w:t xml:space="preserve">Obdobie hodnotenia: </w:t>
      </w:r>
      <w:r w:rsidR="00A005DA">
        <w:t>január</w:t>
      </w:r>
      <w:r>
        <w:t xml:space="preserve"> 2025 – </w:t>
      </w:r>
      <w:r w:rsidR="00A005DA">
        <w:t>december</w:t>
      </w:r>
      <w:r>
        <w:t xml:space="preserve"> 202</w:t>
      </w:r>
      <w:r w:rsidR="00A005DA">
        <w:t>5</w:t>
      </w:r>
    </w:p>
    <w:p w14:paraId="2143016B" w14:textId="77777777" w:rsidR="00881F28" w:rsidRDefault="00881F28" w:rsidP="00881F28"/>
    <w:p w14:paraId="50047B7C" w14:textId="77777777" w:rsidR="00A005DA" w:rsidRDefault="00A005DA" w:rsidP="00881F28"/>
    <w:p w14:paraId="0ACAD667" w14:textId="77777777" w:rsidR="00A005DA" w:rsidRDefault="00A005DA" w:rsidP="00881F28"/>
    <w:p w14:paraId="229A2CFB" w14:textId="5702357D" w:rsidR="00881F28" w:rsidRPr="00A005DA" w:rsidRDefault="00881F28" w:rsidP="00881F28">
      <w:pPr>
        <w:rPr>
          <w:sz w:val="20"/>
          <w:szCs w:val="20"/>
        </w:rPr>
      </w:pPr>
      <w:r w:rsidRPr="00A005DA">
        <w:rPr>
          <w:sz w:val="20"/>
          <w:szCs w:val="20"/>
        </w:rPr>
        <w:t xml:space="preserve">Metodická </w:t>
      </w:r>
      <w:proofErr w:type="spellStart"/>
      <w:r w:rsidRPr="00A005DA">
        <w:rPr>
          <w:sz w:val="20"/>
          <w:szCs w:val="20"/>
        </w:rPr>
        <w:t>poznámka:Hodnotenie</w:t>
      </w:r>
      <w:proofErr w:type="spellEnd"/>
      <w:r w:rsidRPr="00A005DA">
        <w:rPr>
          <w:sz w:val="20"/>
          <w:szCs w:val="20"/>
        </w:rPr>
        <w:t xml:space="preserve"> bolo realizované formou anonymného elektronického dotazníka. Percentuálna spokojnosť je vypočítaná ako podiel priemerného skóre z maximálneho možného skóre (10 bodov), vyjadrený v percentách. Hodnotenie je zverejnené v súlade s požiadavkami § 56 zákona č. 138/2019 Z. z. o pedagogických zamestnancoch a odborných zamestnancoch a o zmene a doplnení niektorých zákonov.</w:t>
      </w:r>
    </w:p>
    <w:p w14:paraId="045C7720" w14:textId="0B417D8E" w:rsidR="00D53EB1" w:rsidRDefault="00D53EB1" w:rsidP="00881F28"/>
    <w:sectPr w:rsidR="00D53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28"/>
    <w:rsid w:val="0002431A"/>
    <w:rsid w:val="00387DB3"/>
    <w:rsid w:val="00881F28"/>
    <w:rsid w:val="00913B1F"/>
    <w:rsid w:val="00A005DA"/>
    <w:rsid w:val="00AA7EE4"/>
    <w:rsid w:val="00D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8323"/>
  <w15:chartTrackingRefBased/>
  <w15:docId w15:val="{1B24C353-0A86-074A-9ABB-72FC3D36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1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1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1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1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1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1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1F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1F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1F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1F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1F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1F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1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1F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1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1F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1F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1F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1F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1F2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88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 Plus</dc:creator>
  <cp:keywords/>
  <dc:description/>
  <cp:lastModifiedBy>Profi Plus</cp:lastModifiedBy>
  <cp:revision>1</cp:revision>
  <dcterms:created xsi:type="dcterms:W3CDTF">2026-03-31T08:41:00Z</dcterms:created>
  <dcterms:modified xsi:type="dcterms:W3CDTF">2026-03-31T09:08:00Z</dcterms:modified>
</cp:coreProperties>
</file>